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F70928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08" w:after="0" w:beforeAutospacing="0" w:afterAutospacing="0"/>
        <w:ind w:left="120"/>
        <w:jc w:val="center"/>
      </w:pPr>
      <w:bookmarkStart w:id="0" w:name="block-52877176"/>
      <w:r>
        <w:rPr>
          <w:rFonts w:ascii="Times New Roman" w:hAnsi="Times New Roman"/>
          <w:b w:val="1"/>
          <w:color w:val="000000"/>
          <w:sz w:val="28"/>
        </w:rPr>
        <w:t>МИНИСТЕРСТВО ПРОСВЕЩЕНИЯ РОССИЙСКОЙ ФЕДЕРАЦИИ</w:t>
      </w:r>
    </w:p>
    <w:p>
      <w:pPr>
        <w:spacing w:lineRule="auto" w:line="408"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М</w:t>
      </w:r>
      <w:r>
        <w:rPr>
          <w:rFonts w:ascii="Times New Roman" w:hAnsi="Times New Roman"/>
          <w:b w:val="1"/>
          <w:color w:val="000000"/>
          <w:sz w:val="28"/>
        </w:rPr>
        <w:t>Б</w:t>
      </w:r>
      <w:r>
        <w:rPr>
          <w:rFonts w:ascii="Times New Roman" w:hAnsi="Times New Roman"/>
          <w:b w:val="1"/>
          <w:color w:val="000000"/>
          <w:sz w:val="28"/>
        </w:rPr>
        <w:t>ОУ "</w:t>
      </w:r>
      <w:r>
        <w:rPr>
          <w:rFonts w:ascii="Times New Roman" w:hAnsi="Times New Roman"/>
          <w:b w:val="1"/>
          <w:color w:val="000000"/>
          <w:sz w:val="28"/>
        </w:rPr>
        <w:t>Новоселовская ООШ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"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tbl>
      <w:tblPr>
        <w:tblW w:w="0" w:type="auto"/>
        <w:tblLook w:val="04A0"/>
      </w:tblPr>
      <w:tblGrid/>
      <w:tr>
        <w:tc>
          <w:tcPr>
            <w:tcW w:w="3114" w:type="dxa"/>
          </w:tcPr>
          <w:p>
            <w:pPr>
              <w:spacing w:after="120" w:beforeAutospacing="0" w:afterAutospacing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</w:tcPr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</w:tcPr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6889745)</w:t>
      </w:r>
    </w:p>
    <w:p>
      <w:pPr>
        <w:spacing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 предмета «Изобразительное искусство»</w:t>
      </w: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lineRule="auto" w:line="264" w:after="0" w:beforeAutospacing="0" w:afterAutospacing="0"/>
        <w:ind w:left="120"/>
        <w:jc w:val="both"/>
      </w:pPr>
      <w:bookmarkEnd w:id="0"/>
      <w:bookmarkStart w:id="1" w:name="block-52877180"/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тражает общие</w:t>
      </w:r>
      <w:r>
        <w:rPr>
          <w:rFonts w:ascii="Times New Roman" w:hAnsi="Times New Roman"/>
          <w:color w:val="000000"/>
          <w:sz w:val="28"/>
        </w:rPr>
        <w:t xml:space="preserve"> принципы,</w:t>
      </w:r>
      <w:r>
        <w:rPr>
          <w:rFonts w:ascii="Times New Roman" w:hAnsi="Times New Roman"/>
          <w:color w:val="000000"/>
          <w:sz w:val="28"/>
        </w:rPr>
        <w:t xml:space="preserve">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after="0" w:beforeAutospacing="0" w:afterAutospacing="0"/>
        <w:ind w:left="120"/>
      </w:pPr>
      <w:bookmarkStart w:id="2" w:name="_Toc141079005"/>
      <w:bookmarkEnd w:id="2"/>
    </w:p>
    <w:p>
      <w:pPr>
        <w:spacing w:after="0" w:beforeAutospacing="0" w:afterAutospacing="0"/>
        <w:ind w:left="120"/>
        <w:jc w:val="both"/>
      </w:pP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>
        <w:rPr>
          <w:rFonts w:ascii="Times New Roman" w:hAnsi="Times New Roman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264" w:after="0" w:beforeAutospacing="0" w:afterAutospacing="0"/>
        <w:ind w:left="120"/>
        <w:jc w:val="both"/>
      </w:pPr>
      <w:bookmarkEnd w:id="1"/>
      <w:bookmarkStart w:id="4" w:name="block-52877177"/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>
      <w:pPr>
        <w:spacing w:after="0" w:beforeAutospacing="0" w:afterAutospacing="0"/>
        <w:ind w:left="120"/>
      </w:pPr>
      <w:bookmarkStart w:id="5" w:name="_Toc141079007"/>
      <w:bookmarkEnd w:id="5"/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1 КЛАСС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«Графика»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«Живопись»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«Скульптура»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Объёмная аппликация из бумаги и картона.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«Декоративно-прикладное искусство»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«Архитектура»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«Восприятие произведений искусства»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«Азбука цифровой графики»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after="0" w:beforeAutospacing="0" w:afterAutospacing="0"/>
        <w:ind w:left="120"/>
      </w:pPr>
      <w:bookmarkStart w:id="6" w:name="_Toc141079008"/>
      <w:bookmarkEnd w:id="6"/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2 КЛАСС</w:t>
      </w:r>
    </w:p>
    <w:p>
      <w:pPr>
        <w:spacing w:lineRule="auto" w:line="269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«Графика»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>
      <w:pPr>
        <w:spacing w:lineRule="auto" w:line="269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«Живопись»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lineRule="auto" w:line="269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«Скульптура»</w:t>
      </w: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«Декоративно-прикладное искусство»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«Архитектура»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«Восприятие произведений искусства»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«Азбука цифровой графики»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after="0" w:beforeAutospacing="0" w:afterAutospacing="0"/>
        <w:ind w:left="120"/>
      </w:pPr>
      <w:bookmarkStart w:id="7" w:name="_Toc141079009"/>
      <w:bookmarkEnd w:id="7"/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3 КЛАСС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«Графика»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«Живопись»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«Скульптура»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«Декоративно-прикладное искусство»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«Архитектура»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«Восприятие произведений искусства»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«Азбука цифровой графики»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after="0" w:beforeAutospacing="0" w:afterAutospacing="0"/>
        <w:ind w:left="120"/>
      </w:pPr>
      <w:bookmarkStart w:id="8" w:name="_Toc141079010"/>
      <w:bookmarkEnd w:id="8"/>
    </w:p>
    <w:p>
      <w:pPr>
        <w:spacing w:after="0" w:beforeAutospacing="0" w:afterAutospacing="0"/>
        <w:ind w:left="120"/>
        <w:rPr>
          <w:rFonts w:ascii="Times New Roman" w:hAnsi="Times New Roman"/>
          <w:b w:val="1"/>
          <w:color w:val="000000"/>
          <w:sz w:val="28"/>
        </w:r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«Графика»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«Живопись»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«Скульптура»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«Декоративно-прикладное искусство»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«Архитектура»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«Восприятие произведений искусства»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«Азбука цифровой графики»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264" w:after="0" w:beforeAutospacing="0" w:afterAutospacing="0"/>
        <w:ind w:left="120"/>
        <w:jc w:val="both"/>
      </w:pPr>
      <w:bookmarkEnd w:id="4"/>
      <w:bookmarkStart w:id="9" w:name="block-52877174"/>
      <w:r>
        <w:rPr>
          <w:rFonts w:ascii="Times New Roman" w:hAnsi="Times New Roman"/>
          <w:b w:val="1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>
      <w:pPr>
        <w:spacing w:after="0" w:beforeAutospacing="0" w:afterAutospacing="0"/>
        <w:ind w:left="120"/>
      </w:pPr>
      <w:bookmarkStart w:id="11" w:name="_Toc141079013"/>
      <w:bookmarkEnd w:id="11"/>
    </w:p>
    <w:p>
      <w:pPr>
        <w:spacing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и исследовательские действия: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электронными учебниками и учебными пособиями;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 и самоконтроль: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after="0" w:beforeAutospacing="0" w:afterAutospacing="0"/>
        <w:ind w:left="120"/>
      </w:pPr>
      <w:bookmarkStart w:id="12" w:name="_Toc124264882"/>
      <w:bookmarkEnd w:id="12"/>
      <w:bookmarkStart w:id="13" w:name="_Toc141079014"/>
      <w:bookmarkEnd w:id="13"/>
    </w:p>
    <w:p>
      <w:pPr>
        <w:spacing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«Графика»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«Живопись»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«Скульптура»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«Декоративно-прикладное искусство»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«Архитектура»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«Восприятие произведений искусства»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«Азбука цифровой графики»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 w:val="1"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«Графика»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«Живопись»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«Скульптура»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«Декоративно-прикладное искусство»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«Архитектура»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«Восприятие произведений искусства»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«Азбука цифровой графики»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 w:val="1"/>
          <w:color w:val="000000"/>
          <w:sz w:val="28"/>
        </w:rPr>
        <w:t xml:space="preserve"> 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«Графика»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«Живопись»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«Скульптура»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«Декоративно-прикладное искусство»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«Архитектура»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«Восприятие произведений искусства»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жанры живописи, графики и скульптуры, определяемые предметом изображения.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значения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«Азбука цифровой графики»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«Графика»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«Живопись»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«Скульптура»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«Декоративно-прикладное искусство»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«Архитектура»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«Восприятие произведений искусства»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Модуль «Азбука цифровой графики»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>
      <w:pPr>
        <w:spacing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9"/>
      <w:bookmarkStart w:id="16" w:name="block-52877175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"https://m.edsoo.ru/7f411892"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"https://m.edsoo.ru/7f411892"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"https://m.edsoo.ru/7f411892"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"https://m.edsoo.ru/7f411892"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"https://m.edsoo.ru/7f411892"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"https://m.edsoo.ru/7f4129ea"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https://m.edsoo.ru/7f4129ea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"https://m.edsoo.ru/7f4129ea"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https://m.edsoo.ru/7f4129ea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"https://m.edsoo.ru/7f4129ea"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https://m.edsoo.ru/7f4129ea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"https://m.edsoo.ru/7f4129ea"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https://m.edsoo.ru/7f4129ea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"https://m.edsoo.ru/7f4129ea"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https://m.edsoo.ru/7f4129ea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16"/>
      <w:bookmarkStart w:id="17" w:name="block-52877178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"https://m.edsoo.ru/8a14a932"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https://m.edsoo.ru/8a14a932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"https://m.edsoo.ru/8a14af2c"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https://m.edsoo.ru/8a14af2c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"https://m.edsoo.ru/8a14cd18"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https://m.edsoo.ru/8a14cd18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"https://m.edsoo.ru/8a14b2c4"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https://m.edsoo.ru/8a14b2c4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"https://m.edsoo.ru/8a14b166"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https://m.edsoo.ru/8a14b166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"https://m.edsoo.ru/8a1494d8"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https://m.edsoo.ru/8a1494d8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"https://m.edsoo.ru/8a14c0e8"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https://m.edsoo.ru/8a14c0e8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"https://m.edsoo.ru/8a1496ae"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"https://m.edsoo.ru/8a14929e"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https://m.edsoo.ru/8a14929e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"https://m.edsoo.ru/8a14c35e"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https://m.edsoo.ru/8a14c35e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"https://m.edsoo.ru/8a14b490"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https://m.edsoo.ru/8a14b490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"https://m.edsoo.ru/8a14b6e8"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https://m.edsoo.ru/8a14b6e8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"https://m.edsoo.ru/8a14b8e6"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https://m.edsoo.ru/8a14b8e6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"https://m.edsoo.ru/8a14ba1c"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https://m.edsoo.ru/8a14ba1c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"https://m.edsoo.ru/8a14bd46"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https://m.edsoo.ru/8a14bd46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"https://m.edsoo.ru/8a14a19e"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https://m.edsoo.ru/8a14a19e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"https://m.edsoo.ru/8a14a45a"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https://m.edsoo.ru/8a14a45a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"https://m.edsoo.ru/8a14a7f2"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https://m.edsoo.ru/8a14a7f2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"https://m.edsoo.ru/8a14996a"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https://m.edsoo.ru/8a14996a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"https://m.edsoo.ru/8a14982a"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https://m.edsoo.ru/8a14982a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"https://m.edsoo.ru/8a14a626"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https://m.edsoo.ru/8a14a626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"https://m.edsoo.ru/8a14d0d8"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https://m.edsoo.ru/8a14d0d8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"https://m.edsoo.ru/8a14ca48"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https://m.edsoo.ru/8a14ca48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"https://m.edsoo.ru/8a14c71e"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https://m.edsoo.ru/8a14c71e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"https://m.edsoo.ru/8a149c3a"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https://m.edsoo.ru/8a149c3a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"https://m.edsoo.ru/8a14c890"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https://m.edsoo.ru/8a14c890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"https://m.edsoo.ru/8a149eb0"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https://m.edsoo.ru/8a149eb0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"https://m.edsoo.ru/8a149abe"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https://m.edsoo.ru/8a149abe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"https://m.edsoo.ru/8a14acca"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"https://m.edsoo.ru/8a14dd4e"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https://m.edsoo.ru/8a14dd4e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"https://m.edsoo.ru/8a14d4ca"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https://m.edsoo.ru/8a14d4ca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"https://m.edsoo.ru/8a150e90"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https://m.edsoo.ru/8a150e90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"https://m.edsoo.ru/8a14f630"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https://m.edsoo.ru/8a14f630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"https://m.edsoo.ru/8a14eafa"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"https://m.edsoo.ru/8a151070"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https://m.edsoo.ru/8a151070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"https://m.edsoo.ru/8a14ede8"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"https://m.edsoo.ru/8a14d7b8"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https://m.edsoo.ru/8a14d7b8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"https://m.edsoo.ru/8a14e302"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https://m.edsoo.ru/8a14e302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"https://m.edsoo.ru/8a14e938"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https://m.edsoo.ru/8a14e938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"https://m.edsoo.ru/8a14fcca"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"https://m.edsoo.ru/8a14f838"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https://m.edsoo.ru/8a14f838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"https://m.edsoo.ru/8a14db64"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https://m.edsoo.ru/8a14db64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"https://m.edsoo.ru/8a14ec6c"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https://m.edsoo.ru/8a14ec6c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"https://m.edsoo.ru/8a14f270"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https://m.edsoo.ru/8a14f270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"https://m.edsoo.ru/8a14f036"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https://m.edsoo.ru/8a14f036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"https://m.edsoo.ru/8a15074c"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https://m.edsoo.ru/8a15074c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"https://m.edsoo.ru/8a151584"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https://m.edsoo.ru/8a151584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"https://m.edsoo.ru/8a15088c"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https://m.edsoo.ru/8a15088c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"https://m.edsoo.ru/8a14faa4"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https://m.edsoo.ru/8a14faa4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"https://m.edsoo.ru/8a151a7a"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https://m.edsoo.ru/8a151a7a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"https://m.edsoo.ru/8a151318"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https://m.edsoo.ru/8a151318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"https://m.edsoo.ru/8a150a80"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https://m.edsoo.ru/8a150a80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"https://m.edsoo.ru/8a15006c"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https://m.edsoo.ru/8a15006c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"https://m.edsoo.ru/8a150cb0"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https://m.edsoo.ru/8a150cb0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"https://m.edsoo.ru/8a14e4c4"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https://m.edsoo.ru/8a14e4c4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"https://m.edsoo.ru/8a14e6b8"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https://m.edsoo.ru/8a14e6b8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480" w:after="0" w:beforeAutospacing="0" w:afterAutospacing="0"/>
        <w:ind w:left="120"/>
      </w:pPr>
      <w:bookmarkEnd w:id="17"/>
      <w:bookmarkStart w:id="18" w:name="block-52877179"/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bookmarkEnd w:id="18"/>
    </w:p>
    <w:sectPr>
      <w:type w:val="nextPage"/>
      <w:pgSz w:w="11907" w:h="16839" w:code="9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4"/>
    <w:qFormat/>
    <w:pPr>
      <w:keepNext w:val="1"/>
      <w:keepLines w:val="1"/>
      <w:spacing w:before="480" w:beforeAutospacing="0" w:afterAutospacing="0"/>
      <w:outlineLvl w:val="0"/>
    </w:pPr>
    <w:rPr>
      <w:b w:val="1"/>
      <w:color w:val="2F5496"/>
      <w:sz w:val="28"/>
    </w:rPr>
  </w:style>
  <w:style w:type="paragraph" w:styleId="P2">
    <w:name w:val="heading 2"/>
    <w:basedOn w:val="P0"/>
    <w:next w:val="P0"/>
    <w:link w:val="C5"/>
    <w:qFormat/>
    <w:pPr>
      <w:keepNext w:val="1"/>
      <w:keepLines w:val="1"/>
      <w:spacing w:before="200" w:beforeAutospacing="0" w:afterAutospacing="0"/>
      <w:outlineLvl w:val="1"/>
    </w:pPr>
    <w:rPr>
      <w:b w:val="1"/>
      <w:color w:val="4472C4"/>
      <w:sz w:val="26"/>
    </w:rPr>
  </w:style>
  <w:style w:type="paragraph" w:styleId="P3">
    <w:name w:val="heading 3"/>
    <w:basedOn w:val="P0"/>
    <w:next w:val="P0"/>
    <w:link w:val="C6"/>
    <w:qFormat/>
    <w:pPr>
      <w:keepNext w:val="1"/>
      <w:keepLines w:val="1"/>
      <w:spacing w:before="200" w:beforeAutospacing="0" w:afterAutospacing="0"/>
      <w:outlineLvl w:val="2"/>
    </w:pPr>
    <w:rPr>
      <w:b w:val="1"/>
      <w:color w:val="4472C4"/>
    </w:rPr>
  </w:style>
  <w:style w:type="paragraph" w:styleId="P4">
    <w:name w:val="heading 4"/>
    <w:basedOn w:val="P0"/>
    <w:next w:val="P0"/>
    <w:link w:val="C7"/>
    <w:qFormat/>
    <w:pPr>
      <w:keepNext w:val="1"/>
      <w:keepLines w:val="1"/>
      <w:spacing w:before="200" w:beforeAutospacing="0" w:afterAutospacing="0"/>
      <w:outlineLvl w:val="3"/>
    </w:pPr>
    <w:rPr>
      <w:b w:val="1"/>
      <w:i w:val="1"/>
      <w:color w:val="4472C4"/>
    </w:rPr>
  </w:style>
  <w:style w:type="paragraph" w:styleId="P5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6">
    <w:name w:val="Normal Indent"/>
    <w:basedOn w:val="P0"/>
    <w:pPr>
      <w:ind w:left="720"/>
    </w:pPr>
    <w:rPr/>
  </w:style>
  <w:style w:type="paragraph" w:styleId="P7">
    <w:name w:val="Subtitle"/>
    <w:basedOn w:val="P0"/>
    <w:next w:val="P0"/>
    <w:link w:val="C8"/>
    <w:qFormat/>
    <w:pPr>
      <w:ind w:left="86"/>
    </w:pPr>
    <w:rPr>
      <w:i w:val="1"/>
      <w:color w:val="4472C4"/>
      <w:sz w:val="24"/>
    </w:rPr>
  </w:style>
  <w:style w:type="paragraph" w:styleId="P8">
    <w:name w:val="Title"/>
    <w:basedOn w:val="P0"/>
    <w:next w:val="P0"/>
    <w:link w:val="C9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472C4"/>
        <w:right w:val="none" w:sz="0" w:space="0" w:shadow="0" w:frame="0" w:color="auto"/>
      </w:pBdr>
      <w:spacing w:after="300" w:beforeAutospacing="0" w:afterAutospacing="0"/>
      <w:contextualSpacing w:val="1"/>
    </w:pPr>
    <w:rPr>
      <w:color w:val="323E4F"/>
      <w:sz w:val="52"/>
    </w:rPr>
  </w:style>
  <w:style w:type="paragraph" w:styleId="P9">
    <w:name w:val="caption"/>
    <w:basedOn w:val="P0"/>
    <w:next w:val="P0"/>
    <w:semiHidden/>
    <w:qFormat/>
    <w:pPr>
      <w:spacing w:lineRule="auto" w:line="240" w:beforeAutospacing="0" w:afterAutospacing="0"/>
    </w:pPr>
    <w:rPr>
      <w:b w:val="1"/>
      <w:color w:val="4472C4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/>
      <w:u w:val="single"/>
    </w:rPr>
  </w:style>
  <w:style w:type="character" w:styleId="C3">
    <w:name w:val="Верхний колонтитул Знак"/>
    <w:basedOn w:val="C0"/>
    <w:link w:val="P5"/>
    <w:rPr/>
  </w:style>
  <w:style w:type="character" w:styleId="C4">
    <w:name w:val="Заголовок 1 Знак"/>
    <w:basedOn w:val="C0"/>
    <w:link w:val="P1"/>
    <w:rPr>
      <w:b w:val="1"/>
      <w:color w:val="2F5496"/>
      <w:sz w:val="28"/>
    </w:rPr>
  </w:style>
  <w:style w:type="character" w:styleId="C5">
    <w:name w:val="Заголовок 2 Знак"/>
    <w:basedOn w:val="C0"/>
    <w:link w:val="P2"/>
    <w:rPr>
      <w:b w:val="1"/>
      <w:color w:val="4472C4"/>
      <w:sz w:val="26"/>
    </w:rPr>
  </w:style>
  <w:style w:type="character" w:styleId="C6">
    <w:name w:val="Заголовок 3 Знак"/>
    <w:basedOn w:val="C0"/>
    <w:link w:val="P3"/>
    <w:rPr>
      <w:b w:val="1"/>
      <w:color w:val="4472C4"/>
    </w:rPr>
  </w:style>
  <w:style w:type="character" w:styleId="C7">
    <w:name w:val="Заголовок 4 Знак"/>
    <w:basedOn w:val="C0"/>
    <w:link w:val="P4"/>
    <w:rPr>
      <w:b w:val="1"/>
      <w:i w:val="1"/>
      <w:color w:val="4472C4"/>
    </w:rPr>
  </w:style>
  <w:style w:type="character" w:styleId="C8">
    <w:name w:val="Подзаголовок Знак"/>
    <w:basedOn w:val="C0"/>
    <w:link w:val="P7"/>
    <w:rPr>
      <w:i w:val="1"/>
      <w:color w:val="4472C4"/>
      <w:sz w:val="24"/>
    </w:rPr>
  </w:style>
  <w:style w:type="character" w:styleId="C9">
    <w:name w:val="Заголовок Знак"/>
    <w:basedOn w:val="C0"/>
    <w:link w:val="P8"/>
    <w:rPr>
      <w:color w:val="323E4F"/>
      <w:sz w:val="52"/>
    </w:rPr>
  </w:style>
  <w:style w:type="character" w:styleId="C10">
    <w:name w:val="Emphasis"/>
    <w:basedOn w:val="C0"/>
    <w:qFormat/>
    <w:rPr>
      <w:i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